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4253"/>
      </w:tblGrid>
      <w:tr w:rsidR="001C32D9" w14:paraId="43B10170" w14:textId="77777777" w:rsidTr="001C32D9">
        <w:tc>
          <w:tcPr>
            <w:tcW w:w="5237" w:type="dxa"/>
            <w:hideMark/>
          </w:tcPr>
          <w:p w14:paraId="65217224" w14:textId="55DE4DFE" w:rsidR="001C32D9" w:rsidRDefault="00EC54F7">
            <w:pPr>
              <w:pStyle w:val="Intestazione1"/>
              <w:tabs>
                <w:tab w:val="left" w:pos="708"/>
              </w:tabs>
              <w:snapToGrid w:val="0"/>
              <w:spacing w:before="120" w:line="254" w:lineRule="auto"/>
              <w:rPr>
                <w:kern w:val="2"/>
                <w:szCs w:val="24"/>
                <w14:ligatures w14:val="standardContextual"/>
              </w:rPr>
            </w:pPr>
            <w:bookmarkStart w:id="0" w:name="_GoBack"/>
            <w:bookmarkEnd w:id="0"/>
            <w:r>
              <w:rPr>
                <w:kern w:val="2"/>
                <w:szCs w:val="24"/>
                <w14:ligatures w14:val="standardContextual"/>
              </w:rPr>
              <w:t xml:space="preserve">Sede,  </w:t>
            </w:r>
            <w:r w:rsidR="00083430">
              <w:rPr>
                <w:kern w:val="2"/>
                <w:szCs w:val="24"/>
                <w14:ligatures w14:val="standardContextual"/>
              </w:rPr>
              <w:t>22/09/2023</w:t>
            </w:r>
          </w:p>
          <w:p w14:paraId="6BF70959" w14:textId="4C62ECDA" w:rsidR="001C32D9" w:rsidRDefault="001C32D9" w:rsidP="00FA7C18">
            <w:pPr>
              <w:spacing w:before="120" w:after="160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Prot. n.</w:t>
            </w:r>
            <w:r w:rsidR="00FA7C18">
              <w:rPr>
                <w:kern w:val="2"/>
                <w:szCs w:val="24"/>
                <w14:ligatures w14:val="standardContextual"/>
              </w:rPr>
              <w:t xml:space="preserve"> </w:t>
            </w:r>
            <w:r w:rsidR="00083430">
              <w:rPr>
                <w:kern w:val="2"/>
                <w:szCs w:val="24"/>
                <w14:ligatures w14:val="standardContextual"/>
              </w:rPr>
              <w:t>22</w:t>
            </w:r>
            <w:r w:rsidR="00FA7C18">
              <w:rPr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kern w:val="2"/>
                <w:szCs w:val="24"/>
                <w14:ligatures w14:val="standardContextual"/>
              </w:rPr>
              <w:t>/C.S.</w:t>
            </w:r>
          </w:p>
          <w:p w14:paraId="7F2E8294" w14:textId="77777777" w:rsidR="00D013DE" w:rsidRDefault="00D013DE" w:rsidP="00FA7C18">
            <w:pPr>
              <w:spacing w:before="120" w:after="160"/>
              <w:rPr>
                <w:kern w:val="2"/>
                <w:szCs w:val="24"/>
                <w14:ligatures w14:val="standardContextual"/>
              </w:rPr>
            </w:pPr>
          </w:p>
          <w:p w14:paraId="4F24B953" w14:textId="43C6160A" w:rsidR="00D013DE" w:rsidRDefault="00D013DE" w:rsidP="00FA7C18">
            <w:pPr>
              <w:spacing w:before="120" w:after="160"/>
              <w:rPr>
                <w:kern w:val="2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253" w:type="dxa"/>
            <w:hideMark/>
          </w:tcPr>
          <w:p w14:paraId="4EE694B8" w14:textId="77777777" w:rsidR="001C32D9" w:rsidRDefault="001C32D9">
            <w:pPr>
              <w:snapToGrid w:val="0"/>
              <w:ind w:firstLine="142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    Ai QUOTIDIANI ED EMITTENTI</w:t>
            </w:r>
          </w:p>
          <w:p w14:paraId="7EE44270" w14:textId="77777777" w:rsidR="001C32D9" w:rsidRDefault="001C32D9">
            <w:pPr>
              <w:ind w:firstLine="426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in indirizzo</w:t>
            </w:r>
          </w:p>
          <w:p w14:paraId="15D5BC99" w14:textId="77777777" w:rsidR="001C32D9" w:rsidRDefault="001C32D9">
            <w:pPr>
              <w:spacing w:after="160"/>
              <w:ind w:firstLine="426"/>
              <w:rPr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                                   LORO SEDI</w:t>
            </w:r>
          </w:p>
        </w:tc>
      </w:tr>
    </w:tbl>
    <w:p w14:paraId="290B720A" w14:textId="77777777" w:rsidR="00FF3343" w:rsidRDefault="00FF3343" w:rsidP="00FF3343">
      <w:pPr>
        <w:suppressAutoHyphens w:val="0"/>
        <w:jc w:val="both"/>
        <w:rPr>
          <w:color w:val="000000"/>
          <w:szCs w:val="24"/>
        </w:rPr>
      </w:pPr>
    </w:p>
    <w:p w14:paraId="2FF8EDC7" w14:textId="5C41BB56" w:rsidR="008B3FA8" w:rsidRPr="008B3FA8" w:rsidRDefault="008B3FA8" w:rsidP="008B3FA8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 w:rsidRPr="008B3FA8">
        <w:rPr>
          <w:b/>
          <w:bCs/>
          <w:color w:val="000000"/>
          <w:sz w:val="44"/>
          <w:szCs w:val="44"/>
        </w:rPr>
        <w:t>CCIAA DELL’EMILIA: NUOVI CONTRATTI</w:t>
      </w:r>
    </w:p>
    <w:p w14:paraId="668E3221" w14:textId="7689C23A" w:rsidR="00752D0D" w:rsidRDefault="008B3FA8" w:rsidP="008B3FA8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 w:rsidRPr="008B3FA8">
        <w:rPr>
          <w:b/>
          <w:bCs/>
          <w:color w:val="000000"/>
          <w:sz w:val="44"/>
          <w:szCs w:val="44"/>
        </w:rPr>
        <w:t>IN LIEVISSIMO CALO A SETTEMBRE</w:t>
      </w:r>
    </w:p>
    <w:p w14:paraId="1B9CF3BB" w14:textId="29EA7B25" w:rsidR="004C4FD8" w:rsidRPr="008B3FA8" w:rsidRDefault="004C4FD8" w:rsidP="008B3FA8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IN PROVINCIA DI </w:t>
      </w:r>
      <w:r w:rsidR="00194E56">
        <w:rPr>
          <w:b/>
          <w:bCs/>
          <w:color w:val="000000"/>
          <w:sz w:val="44"/>
          <w:szCs w:val="44"/>
        </w:rPr>
        <w:t>PARMA</w:t>
      </w:r>
    </w:p>
    <w:p w14:paraId="66C89A7B" w14:textId="77777777" w:rsidR="008B3FA8" w:rsidRDefault="008B3FA8" w:rsidP="00D013DE">
      <w:pPr>
        <w:suppressAutoHyphens w:val="0"/>
        <w:jc w:val="both"/>
        <w:rPr>
          <w:color w:val="000000"/>
          <w:szCs w:val="24"/>
        </w:rPr>
      </w:pPr>
    </w:p>
    <w:p w14:paraId="639EA8EF" w14:textId="49540B52" w:rsidR="000925CE" w:rsidRDefault="000925CE" w:rsidP="00D013DE">
      <w:pPr>
        <w:suppressAutoHyphens w:val="0"/>
        <w:jc w:val="both"/>
        <w:rPr>
          <w:color w:val="000000"/>
          <w:szCs w:val="24"/>
        </w:rPr>
      </w:pPr>
      <w:bookmarkStart w:id="1" w:name="_Hlk146106361"/>
      <w:r>
        <w:rPr>
          <w:color w:val="000000"/>
          <w:szCs w:val="24"/>
        </w:rPr>
        <w:t>Sono 5.</w:t>
      </w:r>
      <w:r w:rsidR="009E2449">
        <w:rPr>
          <w:color w:val="000000"/>
          <w:szCs w:val="24"/>
        </w:rPr>
        <w:t>200</w:t>
      </w:r>
      <w:r>
        <w:rPr>
          <w:color w:val="000000"/>
          <w:szCs w:val="24"/>
        </w:rPr>
        <w:t xml:space="preserve"> i nuovi contratti che saranno attivati in provincia di </w:t>
      </w:r>
      <w:r w:rsidR="009E2449">
        <w:rPr>
          <w:color w:val="000000"/>
          <w:szCs w:val="24"/>
        </w:rPr>
        <w:t>Parma</w:t>
      </w:r>
      <w:r>
        <w:rPr>
          <w:color w:val="000000"/>
          <w:szCs w:val="24"/>
        </w:rPr>
        <w:t xml:space="preserve"> nel corso del mese di settembre. Una cifra rilevante che, comunque, appare in lieve calo rispetto allo stesso mese del 2022, con </w:t>
      </w:r>
      <w:r w:rsidR="009E2449">
        <w:rPr>
          <w:color w:val="000000"/>
          <w:szCs w:val="24"/>
        </w:rPr>
        <w:t>90</w:t>
      </w:r>
      <w:r>
        <w:rPr>
          <w:color w:val="000000"/>
          <w:szCs w:val="24"/>
        </w:rPr>
        <w:t xml:space="preserve"> unità in meno.</w:t>
      </w:r>
    </w:p>
    <w:p w14:paraId="17DB85F6" w14:textId="77777777" w:rsidR="009E2449" w:rsidRDefault="000925CE" w:rsidP="00D013DE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Ad evidenziarlo sono le analisi dell’Ufficio studi della Camera di Commercio dell’Emilia sui dati rilasciati dal </w:t>
      </w:r>
      <w:r w:rsidR="00FA7C18" w:rsidRPr="00D5584E">
        <w:rPr>
          <w:color w:val="000000"/>
          <w:szCs w:val="24"/>
        </w:rPr>
        <w:t xml:space="preserve">Sistema informativo </w:t>
      </w:r>
      <w:proofErr w:type="spellStart"/>
      <w:r w:rsidR="00FA7C18" w:rsidRPr="00D5584E">
        <w:rPr>
          <w:color w:val="000000"/>
          <w:szCs w:val="24"/>
        </w:rPr>
        <w:t>Excelsior</w:t>
      </w:r>
      <w:proofErr w:type="spellEnd"/>
      <w:r>
        <w:rPr>
          <w:color w:val="000000"/>
          <w:szCs w:val="24"/>
        </w:rPr>
        <w:t>; analisi dalle quali emerge il perdurare della leggera tendenza alla riduzione per tutto il trimestre settembre-novembre, con i nuovi contratti previsti a quota 1</w:t>
      </w:r>
      <w:r w:rsidR="009E2449">
        <w:rPr>
          <w:color w:val="000000"/>
          <w:szCs w:val="24"/>
        </w:rPr>
        <w:t>3.740</w:t>
      </w:r>
      <w:r>
        <w:rPr>
          <w:color w:val="000000"/>
          <w:szCs w:val="24"/>
        </w:rPr>
        <w:t xml:space="preserve"> e in calo del</w:t>
      </w:r>
      <w:r w:rsidR="009E2449">
        <w:rPr>
          <w:color w:val="000000"/>
          <w:szCs w:val="24"/>
        </w:rPr>
        <w:t>l’1,5</w:t>
      </w:r>
      <w:r>
        <w:rPr>
          <w:color w:val="000000"/>
          <w:szCs w:val="24"/>
        </w:rPr>
        <w:t>% rispetto allo stesso periodo del 2022.</w:t>
      </w:r>
      <w:r w:rsidR="00331FF8">
        <w:rPr>
          <w:color w:val="000000"/>
          <w:szCs w:val="24"/>
        </w:rPr>
        <w:t xml:space="preserve"> </w:t>
      </w:r>
    </w:p>
    <w:p w14:paraId="73C7076B" w14:textId="7B7F4CEA" w:rsidR="00331FF8" w:rsidRDefault="00331FF8" w:rsidP="00D013DE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Analogo l’andamento in provincia di </w:t>
      </w:r>
      <w:r w:rsidR="00194E56">
        <w:rPr>
          <w:color w:val="000000"/>
          <w:szCs w:val="24"/>
        </w:rPr>
        <w:t>Reggio Emilia (</w:t>
      </w:r>
      <w:r>
        <w:rPr>
          <w:color w:val="000000"/>
          <w:szCs w:val="24"/>
        </w:rPr>
        <w:t>1</w:t>
      </w:r>
      <w:r w:rsidR="00194E56">
        <w:rPr>
          <w:color w:val="000000"/>
          <w:szCs w:val="24"/>
        </w:rPr>
        <w:t>4</w:t>
      </w:r>
      <w:r>
        <w:rPr>
          <w:color w:val="000000"/>
          <w:szCs w:val="24"/>
        </w:rPr>
        <w:t>.</w:t>
      </w:r>
      <w:r w:rsidR="00194E56">
        <w:rPr>
          <w:color w:val="000000"/>
          <w:szCs w:val="24"/>
        </w:rPr>
        <w:t>620</w:t>
      </w:r>
      <w:r>
        <w:rPr>
          <w:color w:val="000000"/>
          <w:szCs w:val="24"/>
        </w:rPr>
        <w:t xml:space="preserve"> nuovi contratti nel trimestre e -</w:t>
      </w:r>
      <w:r w:rsidR="00194E56">
        <w:rPr>
          <w:color w:val="000000"/>
          <w:szCs w:val="24"/>
        </w:rPr>
        <w:t>2,2%</w:t>
      </w:r>
      <w:r>
        <w:rPr>
          <w:color w:val="000000"/>
          <w:szCs w:val="24"/>
        </w:rPr>
        <w:t xml:space="preserve"> sullo stesso periodo del 2022), mentre in provincia di Piacenza è previsto un leggero aumento (+2,1% nel trimestre, con 8.410 nuovi contratti).</w:t>
      </w:r>
      <w:bookmarkEnd w:id="1"/>
    </w:p>
    <w:p w14:paraId="7784D34B" w14:textId="77777777" w:rsidR="008C7BD5" w:rsidRDefault="000925CE" w:rsidP="00194E56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Tornando ai dati del mese di settembre</w:t>
      </w:r>
      <w:r w:rsidR="00331FF8">
        <w:rPr>
          <w:color w:val="000000"/>
          <w:szCs w:val="24"/>
        </w:rPr>
        <w:t xml:space="preserve"> in </w:t>
      </w:r>
      <w:r w:rsidR="00194E56">
        <w:rPr>
          <w:color w:val="000000"/>
          <w:szCs w:val="24"/>
        </w:rPr>
        <w:t xml:space="preserve">provincia di Parma, i nuovi contratti </w:t>
      </w:r>
      <w:r w:rsidR="00194E56" w:rsidRPr="00D5584E">
        <w:rPr>
          <w:color w:val="000000"/>
          <w:szCs w:val="24"/>
        </w:rPr>
        <w:t>si concentr</w:t>
      </w:r>
      <w:r w:rsidR="00194E56">
        <w:rPr>
          <w:color w:val="000000"/>
          <w:szCs w:val="24"/>
        </w:rPr>
        <w:t>eranno</w:t>
      </w:r>
      <w:r w:rsidR="00194E56" w:rsidRPr="00D5584E">
        <w:rPr>
          <w:color w:val="000000"/>
          <w:szCs w:val="24"/>
        </w:rPr>
        <w:t xml:space="preserve"> per il </w:t>
      </w:r>
      <w:r w:rsidR="00194E56">
        <w:rPr>
          <w:color w:val="000000"/>
          <w:szCs w:val="24"/>
        </w:rPr>
        <w:t>68,2</w:t>
      </w:r>
      <w:r w:rsidR="00194E56" w:rsidRPr="00D5584E">
        <w:rPr>
          <w:color w:val="000000"/>
          <w:szCs w:val="24"/>
        </w:rPr>
        <w:t xml:space="preserve">% nel settore dei servizi, con </w:t>
      </w:r>
      <w:r w:rsidR="00194E56">
        <w:rPr>
          <w:color w:val="000000"/>
          <w:szCs w:val="24"/>
        </w:rPr>
        <w:t xml:space="preserve">3.550 </w:t>
      </w:r>
      <w:r w:rsidR="00194E56" w:rsidRPr="00D5584E">
        <w:rPr>
          <w:color w:val="000000"/>
          <w:szCs w:val="24"/>
        </w:rPr>
        <w:t xml:space="preserve">nuovi </w:t>
      </w:r>
      <w:r w:rsidR="00194E56">
        <w:rPr>
          <w:color w:val="000000"/>
          <w:szCs w:val="24"/>
        </w:rPr>
        <w:t xml:space="preserve">contratti e un calo dell’1,9% rispetto al settembre 2022); una flessione determinata dal calo del comparto dei servizi alle imprese </w:t>
      </w:r>
      <w:r w:rsidR="00194E56" w:rsidRPr="005A0B5E">
        <w:rPr>
          <w:color w:val="000000"/>
          <w:szCs w:val="24"/>
        </w:rPr>
        <w:t>(</w:t>
      </w:r>
      <w:r w:rsidR="00194E56">
        <w:rPr>
          <w:color w:val="000000"/>
          <w:szCs w:val="24"/>
        </w:rPr>
        <w:t>1.380 nuovi contratti, con un -2,8 % rispetto a settembre  2022), dei servizi di ristorazione e alberghieri (720 contratti, con -8,8%)</w:t>
      </w:r>
      <w:r w:rsidR="00194E56" w:rsidRPr="00211BA0">
        <w:rPr>
          <w:color w:val="000000"/>
          <w:szCs w:val="24"/>
        </w:rPr>
        <w:t xml:space="preserve"> </w:t>
      </w:r>
      <w:r w:rsidR="00194E56">
        <w:rPr>
          <w:color w:val="000000"/>
          <w:szCs w:val="24"/>
        </w:rPr>
        <w:t>e del commercio (-2%, con i contratti a quota 490), non compensati dall’aumento, pur rilevante (+5,5%) del segmento dei servizi alla persona</w:t>
      </w:r>
      <w:r w:rsidR="008C7BD5">
        <w:rPr>
          <w:color w:val="000000"/>
          <w:szCs w:val="24"/>
        </w:rPr>
        <w:t>, per il quale è prevista l’attivazione di 950 nuovi contratti.</w:t>
      </w:r>
    </w:p>
    <w:p w14:paraId="1B0F6C09" w14:textId="77777777" w:rsidR="008C7BD5" w:rsidRDefault="008C7BD5" w:rsidP="008C7BD5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Per il settore industriale i nuovi contratti previsti in settembre sono 1.650, con un -1,2% rispetto allo stesso mese del 2022, tutto ascrivibile all’industria manifatturiera e alle public utilities, mentre appare stabile a quota 340 nuovi contratti il comparto delle costruzioni.</w:t>
      </w:r>
    </w:p>
    <w:p w14:paraId="3C8FC1D5" w14:textId="77777777" w:rsidR="008C7BD5" w:rsidRPr="00D5584E" w:rsidRDefault="008C7BD5" w:rsidP="008C7BD5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 </w:t>
      </w:r>
      <w:r w:rsidRPr="00D5584E">
        <w:rPr>
          <w:color w:val="000000"/>
          <w:szCs w:val="24"/>
        </w:rPr>
        <w:t>contratt</w:t>
      </w:r>
      <w:r>
        <w:rPr>
          <w:color w:val="000000"/>
          <w:szCs w:val="24"/>
        </w:rPr>
        <w:t>i</w:t>
      </w:r>
      <w:r w:rsidRPr="00D5584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 </w:t>
      </w:r>
      <w:r w:rsidRPr="00D5584E">
        <w:rPr>
          <w:color w:val="000000"/>
          <w:szCs w:val="24"/>
        </w:rPr>
        <w:t>tempo indeterminato o di apprendistato</w:t>
      </w:r>
      <w:r>
        <w:rPr>
          <w:color w:val="000000"/>
          <w:szCs w:val="24"/>
        </w:rPr>
        <w:t xml:space="preserve"> copriranno una quota del 22% del totale, mentre nel 78</w:t>
      </w:r>
      <w:r w:rsidRPr="00D5584E">
        <w:rPr>
          <w:color w:val="000000"/>
          <w:szCs w:val="24"/>
        </w:rPr>
        <w:t>% dei casi s</w:t>
      </w:r>
      <w:r>
        <w:rPr>
          <w:color w:val="000000"/>
          <w:szCs w:val="24"/>
        </w:rPr>
        <w:t>i prevedono contratti a</w:t>
      </w:r>
      <w:r w:rsidRPr="00D5584E">
        <w:rPr>
          <w:color w:val="000000"/>
          <w:szCs w:val="24"/>
        </w:rPr>
        <w:t xml:space="preserve"> tempo determinato o altri contratti con durata predefinita.</w:t>
      </w:r>
    </w:p>
    <w:p w14:paraId="3F62C7AE" w14:textId="77777777" w:rsidR="008C7BD5" w:rsidRDefault="008C7BD5" w:rsidP="008C7BD5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Le attivazioni di contratti </w:t>
      </w:r>
      <w:r w:rsidRPr="00D5584E">
        <w:rPr>
          <w:color w:val="000000"/>
          <w:szCs w:val="24"/>
        </w:rPr>
        <w:t xml:space="preserve">interesseranno per una quota del </w:t>
      </w:r>
      <w:r>
        <w:rPr>
          <w:color w:val="000000"/>
          <w:szCs w:val="24"/>
        </w:rPr>
        <w:t>30</w:t>
      </w:r>
      <w:r w:rsidRPr="00D5584E">
        <w:rPr>
          <w:color w:val="000000"/>
          <w:szCs w:val="24"/>
        </w:rPr>
        <w:t xml:space="preserve">% </w:t>
      </w:r>
      <w:r>
        <w:rPr>
          <w:color w:val="000000"/>
          <w:szCs w:val="24"/>
        </w:rPr>
        <w:t>giovani con meno di trent’anni e, per il 17%, riguarderanno laureati.</w:t>
      </w:r>
    </w:p>
    <w:p w14:paraId="4CFDCF7F" w14:textId="6F2F9AAD" w:rsidR="008C7BD5" w:rsidRDefault="008C7BD5" w:rsidP="008C7BD5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 xml:space="preserve">Come ormai accade puntualmente, le aziende </w:t>
      </w:r>
      <w:r>
        <w:rPr>
          <w:color w:val="000000"/>
          <w:szCs w:val="24"/>
        </w:rPr>
        <w:t xml:space="preserve">parmensi </w:t>
      </w:r>
      <w:r w:rsidRPr="00D5584E">
        <w:rPr>
          <w:color w:val="000000"/>
          <w:szCs w:val="24"/>
        </w:rPr>
        <w:t xml:space="preserve">incontreranno difficoltà, anche nel mese di </w:t>
      </w:r>
      <w:r>
        <w:rPr>
          <w:color w:val="000000"/>
          <w:szCs w:val="24"/>
        </w:rPr>
        <w:t>settembre, nel reperimento delle figure professionali ricercate, problema che si riscontra per il 52% dei profili e che raggiunge quote anche sensibilmente più alte in alcuni segmenti di specializzazione.</w:t>
      </w:r>
    </w:p>
    <w:p w14:paraId="400E2A8E" w14:textId="07728529" w:rsidR="008C7BD5" w:rsidRPr="00D5584E" w:rsidRDefault="008C7BD5" w:rsidP="008C7BD5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 xml:space="preserve">Nell’ambito dirigenziale e con elevata specializzazione tecnica, </w:t>
      </w:r>
      <w:r>
        <w:rPr>
          <w:color w:val="000000"/>
          <w:szCs w:val="24"/>
        </w:rPr>
        <w:t xml:space="preserve">ad esempio, </w:t>
      </w:r>
      <w:r w:rsidRPr="00D5584E">
        <w:rPr>
          <w:color w:val="000000"/>
          <w:szCs w:val="24"/>
        </w:rPr>
        <w:t xml:space="preserve">la domanda di tecnici </w:t>
      </w:r>
      <w:r>
        <w:rPr>
          <w:color w:val="000000"/>
          <w:szCs w:val="24"/>
        </w:rPr>
        <w:t>informatici è infruttuosa nell’ 81,8</w:t>
      </w:r>
      <w:r w:rsidRPr="00D5584E">
        <w:rPr>
          <w:color w:val="000000"/>
          <w:szCs w:val="24"/>
        </w:rPr>
        <w:t xml:space="preserve">% dei casi, mentre quella di tecnici </w:t>
      </w:r>
      <w:r>
        <w:rPr>
          <w:color w:val="000000"/>
          <w:szCs w:val="24"/>
        </w:rPr>
        <w:t>della gestione dei processi produttivi di beni e servizi lo è nell’80,4</w:t>
      </w:r>
      <w:r w:rsidRPr="00D5584E">
        <w:rPr>
          <w:color w:val="000000"/>
          <w:szCs w:val="24"/>
        </w:rPr>
        <w:t xml:space="preserve">% dei casi. Di difficile reperimento anche </w:t>
      </w:r>
      <w:r>
        <w:rPr>
          <w:color w:val="000000"/>
          <w:szCs w:val="24"/>
        </w:rPr>
        <w:t>gli ingegneri</w:t>
      </w:r>
      <w:r w:rsidRPr="00D5584E">
        <w:rPr>
          <w:color w:val="000000"/>
          <w:szCs w:val="24"/>
        </w:rPr>
        <w:t xml:space="preserve"> (nel</w:t>
      </w:r>
      <w:r>
        <w:rPr>
          <w:color w:val="000000"/>
          <w:szCs w:val="24"/>
        </w:rPr>
        <w:t xml:space="preserve"> 76,1</w:t>
      </w:r>
      <w:r w:rsidRPr="00D5584E">
        <w:rPr>
          <w:color w:val="000000"/>
          <w:szCs w:val="24"/>
        </w:rPr>
        <w:t xml:space="preserve">% dei casi) ed anche i tecnici della </w:t>
      </w:r>
      <w:r>
        <w:rPr>
          <w:color w:val="000000"/>
          <w:szCs w:val="24"/>
        </w:rPr>
        <w:t>salute</w:t>
      </w:r>
      <w:r w:rsidRPr="00D5584E">
        <w:rPr>
          <w:color w:val="000000"/>
          <w:szCs w:val="24"/>
        </w:rPr>
        <w:t xml:space="preserve"> (</w:t>
      </w:r>
      <w:r>
        <w:rPr>
          <w:color w:val="000000"/>
          <w:szCs w:val="24"/>
        </w:rPr>
        <w:t>70,6</w:t>
      </w:r>
      <w:r w:rsidRPr="00D5584E">
        <w:rPr>
          <w:color w:val="000000"/>
          <w:szCs w:val="24"/>
        </w:rPr>
        <w:t xml:space="preserve">% </w:t>
      </w:r>
      <w:r>
        <w:rPr>
          <w:color w:val="000000"/>
          <w:szCs w:val="24"/>
        </w:rPr>
        <w:t>di ricerche infruttuose</w:t>
      </w:r>
      <w:r w:rsidRPr="00D5584E">
        <w:rPr>
          <w:color w:val="000000"/>
          <w:szCs w:val="24"/>
        </w:rPr>
        <w:t>).</w:t>
      </w:r>
    </w:p>
    <w:p w14:paraId="7A83673E" w14:textId="7BA3F0CA" w:rsidR="008C7BD5" w:rsidRPr="00D5584E" w:rsidRDefault="008C7BD5" w:rsidP="008C7BD5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Per quanto riguarda g</w:t>
      </w:r>
      <w:r w:rsidRPr="00D5584E">
        <w:rPr>
          <w:color w:val="000000"/>
          <w:szCs w:val="24"/>
        </w:rPr>
        <w:t xml:space="preserve">li impiegati e le professioni commerciali e </w:t>
      </w:r>
      <w:r>
        <w:rPr>
          <w:color w:val="000000"/>
          <w:szCs w:val="24"/>
        </w:rPr>
        <w:t>d</w:t>
      </w:r>
      <w:r w:rsidRPr="00D5584E">
        <w:rPr>
          <w:color w:val="000000"/>
          <w:szCs w:val="24"/>
        </w:rPr>
        <w:t xml:space="preserve">ei servizi, sono di più difficile reperimento gli esercenti e </w:t>
      </w:r>
      <w:r>
        <w:rPr>
          <w:color w:val="000000"/>
          <w:szCs w:val="24"/>
        </w:rPr>
        <w:t xml:space="preserve">gli </w:t>
      </w:r>
      <w:r w:rsidRPr="00D5584E">
        <w:rPr>
          <w:color w:val="000000"/>
          <w:szCs w:val="24"/>
        </w:rPr>
        <w:t>addetti nelle attività di ristorazione (</w:t>
      </w:r>
      <w:r>
        <w:rPr>
          <w:color w:val="000000"/>
          <w:szCs w:val="24"/>
        </w:rPr>
        <w:t>60,3</w:t>
      </w:r>
      <w:r w:rsidRPr="00D5584E">
        <w:rPr>
          <w:color w:val="000000"/>
          <w:szCs w:val="24"/>
        </w:rPr>
        <w:t>%</w:t>
      </w:r>
      <w:r>
        <w:rPr>
          <w:color w:val="000000"/>
          <w:szCs w:val="24"/>
        </w:rPr>
        <w:t xml:space="preserve"> dei casi</w:t>
      </w:r>
      <w:r w:rsidRPr="00D5584E">
        <w:rPr>
          <w:color w:val="000000"/>
          <w:szCs w:val="24"/>
        </w:rPr>
        <w:t>)</w:t>
      </w:r>
      <w:r>
        <w:rPr>
          <w:color w:val="000000"/>
          <w:szCs w:val="24"/>
        </w:rPr>
        <w:t>, gli</w:t>
      </w:r>
      <w:r w:rsidRPr="00D5584E">
        <w:rPr>
          <w:color w:val="000000"/>
          <w:szCs w:val="24"/>
        </w:rPr>
        <w:t xml:space="preserve"> addetti </w:t>
      </w:r>
      <w:r>
        <w:rPr>
          <w:color w:val="000000"/>
          <w:szCs w:val="24"/>
        </w:rPr>
        <w:t xml:space="preserve">alla </w:t>
      </w:r>
      <w:r>
        <w:rPr>
          <w:color w:val="000000"/>
          <w:szCs w:val="24"/>
        </w:rPr>
        <w:lastRenderedPageBreak/>
        <w:t xml:space="preserve">segreteria ed agli affari generali </w:t>
      </w:r>
      <w:r w:rsidRPr="00D5584E">
        <w:rPr>
          <w:color w:val="000000"/>
          <w:szCs w:val="24"/>
        </w:rPr>
        <w:t xml:space="preserve"> (</w:t>
      </w:r>
      <w:r>
        <w:rPr>
          <w:color w:val="000000"/>
          <w:szCs w:val="24"/>
        </w:rPr>
        <w:t>53,8</w:t>
      </w:r>
      <w:r w:rsidRPr="00D5584E">
        <w:rPr>
          <w:color w:val="000000"/>
          <w:szCs w:val="24"/>
        </w:rPr>
        <w:t>%</w:t>
      </w:r>
      <w:r>
        <w:rPr>
          <w:color w:val="000000"/>
          <w:szCs w:val="24"/>
        </w:rPr>
        <w:t xml:space="preserve">), </w:t>
      </w:r>
      <w:r w:rsidRPr="00D5584E">
        <w:rPr>
          <w:color w:val="000000"/>
          <w:szCs w:val="24"/>
        </w:rPr>
        <w:t>gli</w:t>
      </w:r>
      <w:r>
        <w:rPr>
          <w:color w:val="000000"/>
          <w:szCs w:val="24"/>
        </w:rPr>
        <w:t xml:space="preserve"> operatori della cura estetica  (46,4</w:t>
      </w:r>
      <w:r w:rsidRPr="00D5584E">
        <w:rPr>
          <w:color w:val="000000"/>
          <w:szCs w:val="24"/>
        </w:rPr>
        <w:t>%</w:t>
      </w:r>
      <w:r>
        <w:rPr>
          <w:color w:val="000000"/>
          <w:szCs w:val="24"/>
        </w:rPr>
        <w:t xml:space="preserve">) </w:t>
      </w:r>
      <w:r w:rsidRPr="00D5584E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i</w:t>
      </w:r>
      <w:r w:rsidRPr="00D5584E">
        <w:rPr>
          <w:color w:val="000000"/>
          <w:szCs w:val="24"/>
        </w:rPr>
        <w:t xml:space="preserve"> professionisti qualificati nei servizi sanitari e sociali (</w:t>
      </w:r>
      <w:r>
        <w:rPr>
          <w:color w:val="000000"/>
          <w:szCs w:val="24"/>
        </w:rPr>
        <w:t>il</w:t>
      </w:r>
      <w:r w:rsidRPr="00D5584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43,2</w:t>
      </w:r>
      <w:r w:rsidRPr="00D5584E">
        <w:rPr>
          <w:color w:val="000000"/>
          <w:szCs w:val="24"/>
        </w:rPr>
        <w:t xml:space="preserve">% </w:t>
      </w:r>
      <w:r>
        <w:rPr>
          <w:color w:val="000000"/>
          <w:szCs w:val="24"/>
        </w:rPr>
        <w:t xml:space="preserve">risulta </w:t>
      </w:r>
      <w:r w:rsidRPr="00D5584E">
        <w:rPr>
          <w:color w:val="000000"/>
          <w:szCs w:val="24"/>
        </w:rPr>
        <w:t>di difficile reperimento).</w:t>
      </w:r>
    </w:p>
    <w:p w14:paraId="1E1CB7AD" w14:textId="73BCCAF5" w:rsidR="008C7BD5" w:rsidRPr="00D5584E" w:rsidRDefault="008C7BD5" w:rsidP="008C7BD5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 xml:space="preserve">Per gli operai specializzati, le </w:t>
      </w:r>
      <w:r>
        <w:rPr>
          <w:color w:val="000000"/>
          <w:szCs w:val="24"/>
        </w:rPr>
        <w:t xml:space="preserve">maggiori </w:t>
      </w:r>
      <w:r w:rsidRPr="00D5584E">
        <w:rPr>
          <w:color w:val="000000"/>
          <w:szCs w:val="24"/>
        </w:rPr>
        <w:t xml:space="preserve">difficoltà </w:t>
      </w:r>
      <w:r>
        <w:rPr>
          <w:color w:val="000000"/>
          <w:szCs w:val="24"/>
        </w:rPr>
        <w:t xml:space="preserve">di reperimento </w:t>
      </w:r>
      <w:r w:rsidRPr="00D5584E">
        <w:rPr>
          <w:color w:val="000000"/>
          <w:szCs w:val="24"/>
        </w:rPr>
        <w:t xml:space="preserve">si scontano </w:t>
      </w:r>
      <w:r>
        <w:rPr>
          <w:color w:val="000000"/>
          <w:szCs w:val="24"/>
        </w:rPr>
        <w:t xml:space="preserve">per </w:t>
      </w:r>
      <w:r w:rsidR="00DA0916">
        <w:rPr>
          <w:color w:val="000000"/>
          <w:szCs w:val="24"/>
        </w:rPr>
        <w:t>quelli</w:t>
      </w:r>
      <w:r w:rsidRPr="00D5584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specializzati nella carpenteria metallica (nel 84,2% dei casi, di difficile reperimento), seguiti dagli</w:t>
      </w:r>
      <w:r w:rsidRPr="00D5584E">
        <w:rPr>
          <w:color w:val="000000"/>
          <w:szCs w:val="24"/>
        </w:rPr>
        <w:t xml:space="preserve"> operai specializzati in edilizia (</w:t>
      </w:r>
      <w:r>
        <w:rPr>
          <w:color w:val="000000"/>
          <w:szCs w:val="24"/>
        </w:rPr>
        <w:t>80,5</w:t>
      </w:r>
      <w:r w:rsidRPr="00D5584E">
        <w:rPr>
          <w:color w:val="000000"/>
          <w:szCs w:val="24"/>
        </w:rPr>
        <w:t>%</w:t>
      </w:r>
      <w:r w:rsidR="00DA0916">
        <w:rPr>
          <w:color w:val="000000"/>
          <w:szCs w:val="24"/>
        </w:rPr>
        <w:t>)</w:t>
      </w:r>
      <w:r>
        <w:rPr>
          <w:color w:val="000000"/>
          <w:szCs w:val="24"/>
        </w:rPr>
        <w:t>, da mecca</w:t>
      </w:r>
      <w:r w:rsidR="00DA0916">
        <w:rPr>
          <w:color w:val="000000"/>
          <w:szCs w:val="24"/>
        </w:rPr>
        <w:t>n</w:t>
      </w:r>
      <w:r>
        <w:rPr>
          <w:color w:val="000000"/>
          <w:szCs w:val="24"/>
        </w:rPr>
        <w:t>ici, montatori, riparatori e manutentori macchine (76,3% dei casi), e dai</w:t>
      </w:r>
      <w:r w:rsidRPr="00D5584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 w:rsidRPr="00D5584E">
        <w:rPr>
          <w:color w:val="000000"/>
          <w:szCs w:val="24"/>
        </w:rPr>
        <w:t>conduttori di veicoli a motore (</w:t>
      </w:r>
      <w:r>
        <w:rPr>
          <w:color w:val="000000"/>
          <w:szCs w:val="24"/>
        </w:rPr>
        <w:t>70,6</w:t>
      </w:r>
      <w:r w:rsidRPr="00D5584E">
        <w:rPr>
          <w:color w:val="000000"/>
          <w:szCs w:val="24"/>
        </w:rPr>
        <w:t xml:space="preserve">%).  </w:t>
      </w:r>
    </w:p>
    <w:p w14:paraId="2B0086AC" w14:textId="77777777" w:rsidR="008C7BD5" w:rsidRDefault="008C7BD5" w:rsidP="00D013DE">
      <w:pPr>
        <w:suppressAutoHyphens w:val="0"/>
        <w:jc w:val="both"/>
        <w:rPr>
          <w:color w:val="000000"/>
          <w:szCs w:val="24"/>
        </w:rPr>
      </w:pPr>
    </w:p>
    <w:p w14:paraId="6EFCCDBA" w14:textId="77777777" w:rsidR="00FF3343" w:rsidRPr="00D5584E" w:rsidRDefault="00FF3343" w:rsidP="00D013DE">
      <w:pPr>
        <w:tabs>
          <w:tab w:val="left" w:pos="1680"/>
        </w:tabs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ab/>
      </w:r>
    </w:p>
    <w:p w14:paraId="736D3E3F" w14:textId="5E002283" w:rsidR="00FF3343" w:rsidRPr="00D5584E" w:rsidRDefault="00FF3343" w:rsidP="00D013DE">
      <w:pPr>
        <w:suppressAutoHyphens w:val="0"/>
        <w:jc w:val="both"/>
        <w:rPr>
          <w:szCs w:val="24"/>
        </w:rPr>
      </w:pPr>
    </w:p>
    <w:p w14:paraId="40F9E375" w14:textId="77777777" w:rsidR="00FF3343" w:rsidRPr="00D5584E" w:rsidRDefault="00FF3343" w:rsidP="00D013DE">
      <w:pPr>
        <w:suppressAutoHyphens w:val="0"/>
        <w:jc w:val="center"/>
        <w:rPr>
          <w:noProof/>
          <w:szCs w:val="24"/>
          <w:lang w:eastAsia="it-IT"/>
        </w:rPr>
      </w:pPr>
    </w:p>
    <w:sectPr w:rsidR="00FF3343" w:rsidRPr="00D55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8BCFA" w14:textId="77777777" w:rsidR="005F73F9" w:rsidRDefault="005F73F9" w:rsidP="006078B4">
      <w:r>
        <w:separator/>
      </w:r>
    </w:p>
  </w:endnote>
  <w:endnote w:type="continuationSeparator" w:id="0">
    <w:p w14:paraId="7B135BED" w14:textId="77777777" w:rsidR="005F73F9" w:rsidRDefault="005F73F9" w:rsidP="0060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15B17" w14:textId="77777777" w:rsidR="006078B4" w:rsidRDefault="006078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CD3DD" w14:textId="77777777" w:rsidR="006078B4" w:rsidRDefault="006078B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A1995" w14:textId="77777777" w:rsidR="006078B4" w:rsidRDefault="006078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5BA1A" w14:textId="77777777" w:rsidR="005F73F9" w:rsidRDefault="005F73F9" w:rsidP="006078B4">
      <w:r>
        <w:separator/>
      </w:r>
    </w:p>
  </w:footnote>
  <w:footnote w:type="continuationSeparator" w:id="0">
    <w:p w14:paraId="2852F015" w14:textId="77777777" w:rsidR="005F73F9" w:rsidRDefault="005F73F9" w:rsidP="00607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50DF6" w14:textId="77777777" w:rsidR="006078B4" w:rsidRDefault="006078B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44339" w14:textId="53BDCE35" w:rsidR="006078B4" w:rsidRDefault="006078B4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339C97BA" wp14:editId="009BF7BA">
          <wp:extent cx="2887980" cy="845185"/>
          <wp:effectExtent l="0" t="0" r="0" b="0"/>
          <wp:docPr id="9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7980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3879C" w14:textId="77777777" w:rsidR="006078B4" w:rsidRDefault="006078B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81"/>
    <w:rsid w:val="00083430"/>
    <w:rsid w:val="000925CE"/>
    <w:rsid w:val="001604AB"/>
    <w:rsid w:val="00194E56"/>
    <w:rsid w:val="001C32D9"/>
    <w:rsid w:val="001C6E81"/>
    <w:rsid w:val="00331FF8"/>
    <w:rsid w:val="003A2287"/>
    <w:rsid w:val="003B30B5"/>
    <w:rsid w:val="003F5714"/>
    <w:rsid w:val="0043440E"/>
    <w:rsid w:val="004C4FD8"/>
    <w:rsid w:val="00550668"/>
    <w:rsid w:val="005F73F9"/>
    <w:rsid w:val="006078B4"/>
    <w:rsid w:val="00616D5D"/>
    <w:rsid w:val="00645880"/>
    <w:rsid w:val="006E7B6B"/>
    <w:rsid w:val="0074699F"/>
    <w:rsid w:val="0075013A"/>
    <w:rsid w:val="00752D0D"/>
    <w:rsid w:val="00871FA5"/>
    <w:rsid w:val="008B3FA8"/>
    <w:rsid w:val="008C7BD5"/>
    <w:rsid w:val="00910792"/>
    <w:rsid w:val="0099674F"/>
    <w:rsid w:val="009E2449"/>
    <w:rsid w:val="00AC79B1"/>
    <w:rsid w:val="00B21FD6"/>
    <w:rsid w:val="00B5514E"/>
    <w:rsid w:val="00BD0402"/>
    <w:rsid w:val="00C875B4"/>
    <w:rsid w:val="00C92FE0"/>
    <w:rsid w:val="00D013DE"/>
    <w:rsid w:val="00D028CF"/>
    <w:rsid w:val="00DA0916"/>
    <w:rsid w:val="00EA2704"/>
    <w:rsid w:val="00EC54F7"/>
    <w:rsid w:val="00F61306"/>
    <w:rsid w:val="00FA7C18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B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E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78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8B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078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8B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8B4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Intestazione1">
    <w:name w:val="Intestazione1"/>
    <w:basedOn w:val="Normale"/>
    <w:next w:val="Corpotesto"/>
    <w:rsid w:val="001C32D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1C32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C32D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E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78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8B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078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8B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8B4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Intestazione1">
    <w:name w:val="Intestazione1"/>
    <w:basedOn w:val="Normale"/>
    <w:next w:val="Corpotesto"/>
    <w:rsid w:val="001C32D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1C32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C32D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 Belli</dc:creator>
  <cp:lastModifiedBy>cre0208</cp:lastModifiedBy>
  <cp:revision>2</cp:revision>
  <dcterms:created xsi:type="dcterms:W3CDTF">2023-09-25T08:16:00Z</dcterms:created>
  <dcterms:modified xsi:type="dcterms:W3CDTF">2023-09-25T08:16:00Z</dcterms:modified>
</cp:coreProperties>
</file>